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0a01e9c4b4a8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12479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DR. FRA KARLO BALIĆ, ŠESTANOVAC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1.522.109,61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2.862.905,33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1.143.807,56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1.301.420,19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378.302,05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1.561.485,14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523.445,29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2.129.700,90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523.445,29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2.129.700,90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145.143,24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568.215,76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391,5</w:t>
            </w:r>
          </w:p>
        </w:tc>
      </w:tr>
    </w:tbl>
    <w:p>
      <w:pPr>
        <w:spacing w:before="0" w:after="0"/>
      </w:pPr>
    </w:p>
    <w:p>
      <w:r>
        <w:t xml:space="preserve">Prihodi poslovanja za razdoblje od 1.1. do 31.12.2025. godine iznose 2.862.905,33. Rashodi poslovanja za isto obračunsko razdoblje iznose 1.301.420,19. Iskazan je višak prihoda poslovanja u iznosu 1.561.485,14. U istom obračunskom razdoblju škola nije imala prihode od prodaje nefinancijske imovine, a ostvarila je rashode za nabavu nefinancijske imovine u iznosu 2.129.700,90, te je iskazan manjak prihoda od nefinancijske imovine  u iznosu 2.129.700,90. Ukupan manjak prihoda obračunskog razdoblja iznosi 568.215,76. Preneseni manjak prihoda iznosi  161.892,29, te manjak prihoda i primitaka za pokriće u sljedećem razdoblju iznosi 730.108,05.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1.400.108,78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Prijenos nadležnog proračuna za izgradnju školske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520.384,72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2.122.075,57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407,8</w:t>
            </w:r>
          </w:p>
        </w:tc>
      </w:tr>
    </w:tbl>
    <w:p>
      <w:pPr>
        <w:spacing w:before="0" w:after="0"/>
      </w:pPr>
    </w:p>
    <w:p>
      <w:r>
        <w:t xml:space="preserve">Troškovi povećani zbog izgradnje školske dvorane.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od nefinancijske imovine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rezultata radi usklađenja nefinancijske imovine i vlastitih izvora.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631.434,86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se odnose na obveze za nabavu nefinancijske imovine (izgradnja školske dvorane). Dio dospjelih obveza bit će podmiren nakon što nadležni proračun doznači sredstva, a dio od 5 % (sustega) po završetku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109.353,75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zaposlene u iznosu 76.606,92, obveze za materijalne rashode u iznosu 32.715,18, obveze za financijske rashode u iznosu 31,65.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troškove izgradnje školske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za depozite i jamčevne pologe u iznosu od 1.700,00, te obveze PK za povrat u proračun u iznosu 3.706,39.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Izgradnja školske sportske dvorane financirana iz programa NPOO 2021-2026. Jednosmjenski rad i CDŠ.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e42c607f74944" /></Relationships>
</file>